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A2" w:rsidRPr="006F5457" w:rsidRDefault="006F5457" w:rsidP="006F5457">
      <w:pPr>
        <w:spacing w:after="0" w:line="240" w:lineRule="auto"/>
        <w:rPr>
          <w:rFonts w:eastAsiaTheme="minorEastAsia"/>
          <w:b/>
          <w:sz w:val="32"/>
          <w:szCs w:val="24"/>
          <w:lang w:val="en-US" w:eastAsia="de-DE"/>
        </w:rPr>
      </w:pPr>
      <w:r w:rsidRPr="006F5457">
        <w:rPr>
          <w:rFonts w:eastAsiaTheme="minorEastAsia"/>
          <w:b/>
          <w:sz w:val="32"/>
          <w:szCs w:val="24"/>
          <w:lang w:val="en-US" w:eastAsia="de-DE"/>
        </w:rPr>
        <w:t>Principles of Responsible Management: Sustainability, Responsibility, Ethics (December 2014)</w:t>
      </w:r>
    </w:p>
    <w:p w:rsidR="006F5457" w:rsidRPr="006F5457" w:rsidRDefault="006F5457" w:rsidP="006F5457">
      <w:pPr>
        <w:spacing w:after="0" w:line="240" w:lineRule="auto"/>
        <w:rPr>
          <w:rFonts w:eastAsiaTheme="minorEastAsia"/>
          <w:b/>
          <w:sz w:val="32"/>
          <w:szCs w:val="24"/>
          <w:lang w:val="en-US" w:eastAsia="de-DE"/>
        </w:rPr>
      </w:pPr>
    </w:p>
    <w:tbl>
      <w:tblPr>
        <w:tblStyle w:val="TableGrid"/>
        <w:tblW w:w="0" w:type="auto"/>
        <w:tblLook w:val="04A0" w:firstRow="1" w:lastRow="0" w:firstColumn="1" w:lastColumn="0" w:noHBand="0" w:noVBand="1"/>
      </w:tblPr>
      <w:tblGrid>
        <w:gridCol w:w="3510"/>
        <w:gridCol w:w="5696"/>
      </w:tblGrid>
      <w:tr w:rsidR="006F5457" w:rsidRPr="006F5457" w:rsidTr="006F5457">
        <w:tc>
          <w:tcPr>
            <w:tcW w:w="3510" w:type="dxa"/>
          </w:tcPr>
          <w:p w:rsidR="006F5457" w:rsidRDefault="006F5457" w:rsidP="00CC3167">
            <w:pPr>
              <w:rPr>
                <w:sz w:val="20"/>
                <w:szCs w:val="20"/>
              </w:rPr>
            </w:pPr>
            <w:r>
              <w:rPr>
                <w:b/>
                <w:sz w:val="20"/>
                <w:szCs w:val="20"/>
              </w:rPr>
              <w:t>Lecturer</w:t>
            </w:r>
          </w:p>
          <w:p w:rsidR="006F5457" w:rsidRPr="005D75BA" w:rsidRDefault="006F5457" w:rsidP="00CC3167">
            <w:pPr>
              <w:rPr>
                <w:sz w:val="20"/>
                <w:szCs w:val="20"/>
              </w:rPr>
            </w:pPr>
          </w:p>
        </w:tc>
        <w:tc>
          <w:tcPr>
            <w:tcW w:w="5696" w:type="dxa"/>
          </w:tcPr>
          <w:p w:rsidR="006F5457" w:rsidRPr="00DC1D46" w:rsidRDefault="006F5457" w:rsidP="006F5457">
            <w:pPr>
              <w:rPr>
                <w:sz w:val="20"/>
                <w:szCs w:val="20"/>
                <w:lang w:val="en-US"/>
              </w:rPr>
            </w:pPr>
            <w:r w:rsidRPr="00AE3D04">
              <w:rPr>
                <w:sz w:val="20"/>
                <w:szCs w:val="20"/>
                <w:lang w:val="en-US"/>
              </w:rPr>
              <w:t>Oliver Laas</w:t>
            </w:r>
            <w:r>
              <w:rPr>
                <w:sz w:val="20"/>
                <w:szCs w:val="20"/>
                <w:lang w:val="en-US"/>
              </w:rPr>
              <w:t>ch</w:t>
            </w:r>
          </w:p>
        </w:tc>
      </w:tr>
      <w:tr w:rsidR="006F5457" w:rsidRPr="00CE425C" w:rsidTr="006F5457">
        <w:tc>
          <w:tcPr>
            <w:tcW w:w="3510" w:type="dxa"/>
          </w:tcPr>
          <w:p w:rsidR="006F5457" w:rsidRPr="00106A2A" w:rsidRDefault="006F5457" w:rsidP="00CC3167">
            <w:pPr>
              <w:rPr>
                <w:b/>
                <w:sz w:val="20"/>
                <w:szCs w:val="20"/>
              </w:rPr>
            </w:pPr>
            <w:r>
              <w:rPr>
                <w:b/>
                <w:sz w:val="20"/>
                <w:szCs w:val="20"/>
              </w:rPr>
              <w:t>Lecture title</w:t>
            </w:r>
          </w:p>
          <w:p w:rsidR="006F5457" w:rsidRPr="005D75BA" w:rsidRDefault="006F5457" w:rsidP="00CC3167">
            <w:pPr>
              <w:rPr>
                <w:sz w:val="20"/>
                <w:szCs w:val="20"/>
              </w:rPr>
            </w:pPr>
          </w:p>
        </w:tc>
        <w:tc>
          <w:tcPr>
            <w:tcW w:w="5696" w:type="dxa"/>
          </w:tcPr>
          <w:p w:rsidR="006F5457" w:rsidRPr="00167877" w:rsidRDefault="006F5457" w:rsidP="00CC3167">
            <w:pPr>
              <w:rPr>
                <w:sz w:val="20"/>
                <w:szCs w:val="20"/>
                <w:lang w:val="en-US"/>
              </w:rPr>
            </w:pPr>
            <w:r>
              <w:rPr>
                <w:sz w:val="20"/>
                <w:szCs w:val="20"/>
                <w:lang w:val="en-US"/>
              </w:rPr>
              <w:t>Competences for responsible m</w:t>
            </w:r>
            <w:r w:rsidRPr="00167877">
              <w:rPr>
                <w:sz w:val="20"/>
                <w:szCs w:val="20"/>
                <w:lang w:val="en-US"/>
              </w:rPr>
              <w:t>anagement: Man</w:t>
            </w:r>
            <w:r>
              <w:rPr>
                <w:sz w:val="20"/>
                <w:szCs w:val="20"/>
                <w:lang w:val="en-US"/>
              </w:rPr>
              <w:t>ag</w:t>
            </w:r>
            <w:r w:rsidRPr="00167877">
              <w:rPr>
                <w:sz w:val="20"/>
                <w:szCs w:val="20"/>
                <w:lang w:val="en-US"/>
              </w:rPr>
              <w:t xml:space="preserve">ing sustainability, responsibility, and </w:t>
            </w:r>
            <w:r>
              <w:rPr>
                <w:sz w:val="20"/>
                <w:szCs w:val="20"/>
                <w:lang w:val="en-US"/>
              </w:rPr>
              <w:t>ethics across the company</w:t>
            </w:r>
          </w:p>
        </w:tc>
      </w:tr>
      <w:tr w:rsidR="006F5457" w:rsidTr="006F5457">
        <w:tc>
          <w:tcPr>
            <w:tcW w:w="3510" w:type="dxa"/>
          </w:tcPr>
          <w:p w:rsidR="006F5457" w:rsidRPr="00B07669" w:rsidRDefault="006F5457" w:rsidP="00CC3167">
            <w:pPr>
              <w:rPr>
                <w:sz w:val="12"/>
                <w:szCs w:val="20"/>
              </w:rPr>
            </w:pPr>
            <w:r>
              <w:rPr>
                <w:b/>
                <w:sz w:val="20"/>
                <w:szCs w:val="20"/>
              </w:rPr>
              <w:t>Lecture type</w:t>
            </w:r>
          </w:p>
          <w:p w:rsidR="006F5457" w:rsidRPr="005D75BA" w:rsidRDefault="006F5457" w:rsidP="00CC3167">
            <w:pPr>
              <w:rPr>
                <w:sz w:val="20"/>
                <w:szCs w:val="20"/>
              </w:rPr>
            </w:pPr>
          </w:p>
        </w:tc>
        <w:tc>
          <w:tcPr>
            <w:tcW w:w="5696" w:type="dxa"/>
          </w:tcPr>
          <w:p w:rsidR="006F5457" w:rsidRPr="005D75BA" w:rsidRDefault="006F5457" w:rsidP="00CC3167">
            <w:pPr>
              <w:rPr>
                <w:sz w:val="20"/>
                <w:szCs w:val="20"/>
              </w:rPr>
            </w:pPr>
            <w:r>
              <w:rPr>
                <w:sz w:val="20"/>
                <w:szCs w:val="20"/>
              </w:rPr>
              <w:t>Seminar</w:t>
            </w:r>
          </w:p>
        </w:tc>
      </w:tr>
      <w:tr w:rsidR="006F5457" w:rsidTr="006F5457">
        <w:tc>
          <w:tcPr>
            <w:tcW w:w="3510" w:type="dxa"/>
          </w:tcPr>
          <w:p w:rsidR="006F5457" w:rsidRPr="00BD542D" w:rsidRDefault="006F5457" w:rsidP="00CC3167">
            <w:pPr>
              <w:rPr>
                <w:sz w:val="12"/>
                <w:szCs w:val="20"/>
              </w:rPr>
            </w:pPr>
            <w:r>
              <w:rPr>
                <w:b/>
                <w:sz w:val="20"/>
                <w:szCs w:val="20"/>
              </w:rPr>
              <w:t>Duration</w:t>
            </w:r>
          </w:p>
        </w:tc>
        <w:tc>
          <w:tcPr>
            <w:tcW w:w="5696" w:type="dxa"/>
          </w:tcPr>
          <w:p w:rsidR="006F5457" w:rsidRPr="005D75BA" w:rsidRDefault="006F5457" w:rsidP="00CC3167">
            <w:pPr>
              <w:rPr>
                <w:sz w:val="20"/>
                <w:szCs w:val="20"/>
              </w:rPr>
            </w:pPr>
            <w:r>
              <w:rPr>
                <w:sz w:val="20"/>
                <w:szCs w:val="20"/>
              </w:rPr>
              <w:t>4 days, 10 hours each</w:t>
            </w:r>
          </w:p>
        </w:tc>
      </w:tr>
      <w:tr w:rsidR="006F5457" w:rsidRPr="00CE425C" w:rsidTr="006F5457">
        <w:tc>
          <w:tcPr>
            <w:tcW w:w="3510" w:type="dxa"/>
          </w:tcPr>
          <w:p w:rsidR="006F5457" w:rsidRDefault="006F5457" w:rsidP="00CC3167">
            <w:pPr>
              <w:rPr>
                <w:b/>
                <w:sz w:val="20"/>
                <w:szCs w:val="20"/>
              </w:rPr>
            </w:pPr>
            <w:r>
              <w:rPr>
                <w:b/>
                <w:sz w:val="20"/>
                <w:szCs w:val="20"/>
              </w:rPr>
              <w:t>Student profile</w:t>
            </w:r>
          </w:p>
          <w:p w:rsidR="006F5457" w:rsidRPr="005D75BA" w:rsidRDefault="006F5457" w:rsidP="006F5457">
            <w:pPr>
              <w:rPr>
                <w:sz w:val="20"/>
                <w:szCs w:val="20"/>
              </w:rPr>
            </w:pPr>
          </w:p>
        </w:tc>
        <w:tc>
          <w:tcPr>
            <w:tcW w:w="5696" w:type="dxa"/>
          </w:tcPr>
          <w:p w:rsidR="006F5457" w:rsidRPr="006F5457" w:rsidRDefault="006F5457" w:rsidP="006F5457">
            <w:pPr>
              <w:rPr>
                <w:sz w:val="20"/>
                <w:szCs w:val="20"/>
                <w:lang w:val="en-US"/>
              </w:rPr>
            </w:pPr>
            <w:r w:rsidRPr="00C40E7F">
              <w:rPr>
                <w:sz w:val="20"/>
                <w:szCs w:val="20"/>
                <w:lang w:val="en-US"/>
              </w:rPr>
              <w:t>Graduate</w:t>
            </w:r>
            <w:r>
              <w:rPr>
                <w:sz w:val="20"/>
                <w:szCs w:val="20"/>
                <w:lang w:val="en-US"/>
              </w:rPr>
              <w:t xml:space="preserve"> and advanced undergraduate students in</w:t>
            </w:r>
            <w:r w:rsidRPr="00C40E7F">
              <w:rPr>
                <w:sz w:val="20"/>
                <w:szCs w:val="20"/>
                <w:lang w:val="en-US"/>
              </w:rPr>
              <w:t xml:space="preserve"> business and economics </w:t>
            </w:r>
            <w:r>
              <w:rPr>
                <w:sz w:val="20"/>
                <w:szCs w:val="20"/>
                <w:lang w:val="en-US"/>
              </w:rPr>
              <w:t>studies or students from other faculties with, but with strong background in business and economics</w:t>
            </w:r>
          </w:p>
        </w:tc>
      </w:tr>
      <w:tr w:rsidR="006F5457" w:rsidRPr="00CE425C" w:rsidTr="006F5457">
        <w:tc>
          <w:tcPr>
            <w:tcW w:w="3510" w:type="dxa"/>
          </w:tcPr>
          <w:p w:rsidR="006F5457" w:rsidRPr="00CA3B26" w:rsidRDefault="006F5457" w:rsidP="00CC3167">
            <w:pPr>
              <w:rPr>
                <w:sz w:val="12"/>
                <w:szCs w:val="12"/>
              </w:rPr>
            </w:pPr>
            <w:r>
              <w:rPr>
                <w:b/>
                <w:sz w:val="20"/>
                <w:szCs w:val="20"/>
              </w:rPr>
              <w:t>Examination type</w:t>
            </w:r>
          </w:p>
        </w:tc>
        <w:tc>
          <w:tcPr>
            <w:tcW w:w="5696" w:type="dxa"/>
          </w:tcPr>
          <w:p w:rsidR="006F5457" w:rsidRPr="006F5457" w:rsidRDefault="006F5457" w:rsidP="00CC3167">
            <w:pPr>
              <w:rPr>
                <w:sz w:val="20"/>
                <w:szCs w:val="20"/>
                <w:lang w:val="en-US"/>
              </w:rPr>
            </w:pPr>
            <w:r w:rsidRPr="00DC1D46">
              <w:rPr>
                <w:sz w:val="20"/>
                <w:szCs w:val="20"/>
                <w:lang w:val="en-US"/>
              </w:rPr>
              <w:t xml:space="preserve">Case study presentation + </w:t>
            </w:r>
            <w:r>
              <w:rPr>
                <w:sz w:val="20"/>
                <w:szCs w:val="20"/>
                <w:lang w:val="en-US"/>
              </w:rPr>
              <w:t xml:space="preserve">project-based </w:t>
            </w:r>
            <w:r w:rsidRPr="00DC1D46">
              <w:rPr>
                <w:sz w:val="20"/>
                <w:szCs w:val="20"/>
                <w:lang w:val="en-US"/>
              </w:rPr>
              <w:t>term paper (</w:t>
            </w:r>
            <w:r>
              <w:rPr>
                <w:sz w:val="20"/>
                <w:szCs w:val="20"/>
                <w:lang w:val="en-US"/>
              </w:rPr>
              <w:t>5-10 pages)</w:t>
            </w:r>
          </w:p>
        </w:tc>
      </w:tr>
      <w:tr w:rsidR="006F5457" w:rsidRPr="005D75BA" w:rsidTr="006F5457">
        <w:tc>
          <w:tcPr>
            <w:tcW w:w="3510" w:type="dxa"/>
          </w:tcPr>
          <w:p w:rsidR="006F5457" w:rsidRDefault="006F5457" w:rsidP="00CC3167">
            <w:pPr>
              <w:rPr>
                <w:b/>
                <w:sz w:val="20"/>
                <w:szCs w:val="20"/>
              </w:rPr>
            </w:pPr>
            <w:r>
              <w:rPr>
                <w:b/>
                <w:sz w:val="20"/>
                <w:szCs w:val="20"/>
              </w:rPr>
              <w:t>Number of participants</w:t>
            </w:r>
          </w:p>
          <w:p w:rsidR="006F5457" w:rsidRDefault="006F5457" w:rsidP="00CC3167">
            <w:pPr>
              <w:rPr>
                <w:b/>
                <w:sz w:val="20"/>
                <w:szCs w:val="20"/>
              </w:rPr>
            </w:pPr>
          </w:p>
        </w:tc>
        <w:tc>
          <w:tcPr>
            <w:tcW w:w="5696" w:type="dxa"/>
          </w:tcPr>
          <w:p w:rsidR="006F5457" w:rsidRPr="005D75BA" w:rsidRDefault="006F5457" w:rsidP="00CC3167">
            <w:pPr>
              <w:rPr>
                <w:sz w:val="20"/>
                <w:szCs w:val="20"/>
              </w:rPr>
            </w:pPr>
            <w:r>
              <w:rPr>
                <w:sz w:val="20"/>
                <w:szCs w:val="20"/>
              </w:rPr>
              <w:t>15</w:t>
            </w:r>
          </w:p>
        </w:tc>
      </w:tr>
      <w:tr w:rsidR="006F5457" w:rsidRPr="005D75BA" w:rsidTr="006F5457">
        <w:trPr>
          <w:trHeight w:val="1301"/>
        </w:trPr>
        <w:tc>
          <w:tcPr>
            <w:tcW w:w="9206" w:type="dxa"/>
            <w:gridSpan w:val="2"/>
          </w:tcPr>
          <w:p w:rsidR="006F5457" w:rsidRPr="00CE425C" w:rsidRDefault="006F5457" w:rsidP="00CC3167">
            <w:pPr>
              <w:rPr>
                <w:b/>
                <w:sz w:val="20"/>
                <w:szCs w:val="20"/>
                <w:lang w:val="en-US"/>
              </w:rPr>
            </w:pPr>
            <w:r w:rsidRPr="00CE425C">
              <w:rPr>
                <w:b/>
                <w:sz w:val="20"/>
                <w:szCs w:val="20"/>
                <w:lang w:val="en-US"/>
              </w:rPr>
              <w:t>Literature</w:t>
            </w:r>
          </w:p>
          <w:p w:rsidR="006F5457" w:rsidRPr="005D75BA" w:rsidRDefault="006F5457" w:rsidP="006F5457">
            <w:pPr>
              <w:pStyle w:val="Bibliography"/>
              <w:ind w:left="720" w:hanging="720"/>
              <w:rPr>
                <w:sz w:val="20"/>
                <w:szCs w:val="20"/>
              </w:rPr>
            </w:pPr>
            <w:r w:rsidRPr="00167877">
              <w:rPr>
                <w:b/>
                <w:sz w:val="14"/>
                <w:szCs w:val="20"/>
              </w:rPr>
              <w:fldChar w:fldCharType="begin"/>
            </w:r>
            <w:r w:rsidRPr="00167877">
              <w:rPr>
                <w:b/>
                <w:sz w:val="14"/>
                <w:szCs w:val="20"/>
                <w:lang w:val="en-US"/>
              </w:rPr>
              <w:instrText xml:space="preserve"> BIBLIOGRAPHY  \l 1031 </w:instrText>
            </w:r>
            <w:r w:rsidRPr="00167877">
              <w:rPr>
                <w:b/>
                <w:sz w:val="14"/>
                <w:szCs w:val="20"/>
              </w:rPr>
              <w:fldChar w:fldCharType="separate"/>
            </w:r>
            <w:r w:rsidRPr="00167877">
              <w:rPr>
                <w:sz w:val="18"/>
                <w:lang w:val="en-US"/>
              </w:rPr>
              <w:t xml:space="preserve">Laasch, O., &amp; Conaway, R. N. (2014). </w:t>
            </w:r>
            <w:r w:rsidRPr="00167877">
              <w:rPr>
                <w:i/>
                <w:iCs/>
                <w:sz w:val="18"/>
                <w:lang w:val="en-US"/>
              </w:rPr>
              <w:t>Principles of responsible management: Glocal sustainability, responsibility, ethics.</w:t>
            </w:r>
            <w:r w:rsidRPr="00167877">
              <w:rPr>
                <w:sz w:val="18"/>
                <w:lang w:val="en-US"/>
              </w:rPr>
              <w:t xml:space="preserve"> Mason: Cengage.</w:t>
            </w:r>
            <w:r w:rsidRPr="00167877">
              <w:rPr>
                <w:b/>
                <w:sz w:val="14"/>
                <w:szCs w:val="20"/>
              </w:rPr>
              <w:fldChar w:fldCharType="end"/>
            </w:r>
          </w:p>
        </w:tc>
      </w:tr>
      <w:tr w:rsidR="006F5457" w:rsidRPr="006F5457" w:rsidTr="006F5457">
        <w:trPr>
          <w:trHeight w:val="5670"/>
        </w:trPr>
        <w:tc>
          <w:tcPr>
            <w:tcW w:w="9206" w:type="dxa"/>
            <w:gridSpan w:val="2"/>
          </w:tcPr>
          <w:p w:rsidR="006F5457" w:rsidRPr="009A45D0" w:rsidRDefault="006F5457" w:rsidP="00CC3167">
            <w:pPr>
              <w:rPr>
                <w:b/>
                <w:sz w:val="20"/>
                <w:szCs w:val="20"/>
                <w:lang w:val="en-US"/>
              </w:rPr>
            </w:pPr>
            <w:r>
              <w:rPr>
                <w:b/>
                <w:sz w:val="20"/>
                <w:szCs w:val="20"/>
                <w:lang w:val="en-US"/>
              </w:rPr>
              <w:t>Description</w:t>
            </w:r>
          </w:p>
          <w:p w:rsidR="006F5457" w:rsidRDefault="006F5457" w:rsidP="00CC3167">
            <w:pPr>
              <w:rPr>
                <w:sz w:val="20"/>
                <w:szCs w:val="20"/>
                <w:lang w:val="en-US"/>
              </w:rPr>
            </w:pPr>
            <w:r w:rsidRPr="00167877">
              <w:rPr>
                <w:sz w:val="20"/>
                <w:szCs w:val="20"/>
                <w:lang w:val="en-US"/>
              </w:rPr>
              <w:t>To reach business sustainability, responsibility, and ethics (SRE) a necessary condition is to create a distinct se</w:t>
            </w:r>
            <w:r>
              <w:rPr>
                <w:sz w:val="20"/>
                <w:szCs w:val="20"/>
                <w:lang w:val="en-US"/>
              </w:rPr>
              <w:t>t</w:t>
            </w:r>
            <w:r w:rsidRPr="00167877">
              <w:rPr>
                <w:sz w:val="20"/>
                <w:szCs w:val="20"/>
                <w:lang w:val="en-US"/>
              </w:rPr>
              <w:t xml:space="preserve"> of managerial competences</w:t>
            </w:r>
            <w:r>
              <w:rPr>
                <w:sz w:val="20"/>
                <w:szCs w:val="20"/>
                <w:lang w:val="en-US"/>
              </w:rPr>
              <w:t xml:space="preserve"> for SRE</w:t>
            </w:r>
            <w:r w:rsidRPr="00167877">
              <w:rPr>
                <w:sz w:val="20"/>
                <w:szCs w:val="20"/>
                <w:lang w:val="en-US"/>
              </w:rPr>
              <w:t>.</w:t>
            </w:r>
            <w:r>
              <w:rPr>
                <w:sz w:val="20"/>
                <w:szCs w:val="20"/>
                <w:lang w:val="en-US"/>
              </w:rPr>
              <w:t xml:space="preserve"> This seminar aims to provide students with such a basic set of competences, of knowing, doing, relating, and being, through the practice and application of SRE across the main functions of a company. The functions to be covered include strategy, entrepreneurship, R&amp;D, organization, operations, supply chain, human resources, international business, accounting, and finance.</w:t>
            </w:r>
          </w:p>
          <w:p w:rsidR="006F5457" w:rsidRDefault="006F5457" w:rsidP="00CC3167">
            <w:pPr>
              <w:rPr>
                <w:sz w:val="20"/>
                <w:szCs w:val="20"/>
                <w:lang w:val="en-US"/>
              </w:rPr>
            </w:pPr>
          </w:p>
          <w:p w:rsidR="006F5457" w:rsidRDefault="006F5457" w:rsidP="00CC3167">
            <w:pPr>
              <w:rPr>
                <w:sz w:val="20"/>
                <w:szCs w:val="20"/>
                <w:lang w:val="en-US"/>
              </w:rPr>
            </w:pPr>
            <w:r>
              <w:rPr>
                <w:sz w:val="20"/>
                <w:szCs w:val="20"/>
                <w:lang w:val="en-US"/>
              </w:rPr>
              <w:t xml:space="preserve">The first, lectured part of this seminar will illustrate the basic principles and tools for managing business SRE, such as life-cycle assessment, stakeholder management, and various ethics management frameworks (Day 1). We will then go on to see how the principles and tools translate into application throughout main parts of the business. This includes looking at how mainstream management tools </w:t>
            </w:r>
            <w:proofErr w:type="gramStart"/>
            <w:r>
              <w:rPr>
                <w:sz w:val="20"/>
                <w:szCs w:val="20"/>
                <w:lang w:val="en-US"/>
              </w:rPr>
              <w:t>should be reinterpreted</w:t>
            </w:r>
            <w:proofErr w:type="gramEnd"/>
            <w:r>
              <w:rPr>
                <w:sz w:val="20"/>
                <w:szCs w:val="20"/>
                <w:lang w:val="en-US"/>
              </w:rPr>
              <w:t xml:space="preserve"> to include SRE, and at the creation of new management tools for SRE. Some of the particular tools that we will look at are SRE business model canvases, sustainability balanced scorecards, cause-related and social marketing, social returns on investment, codes of ethics, organizational SRE infrastructure (Day 1-2).</w:t>
            </w:r>
          </w:p>
          <w:p w:rsidR="006F5457" w:rsidRDefault="006F5457" w:rsidP="00CC3167">
            <w:pPr>
              <w:rPr>
                <w:sz w:val="20"/>
                <w:szCs w:val="20"/>
                <w:lang w:val="en-US"/>
              </w:rPr>
            </w:pPr>
          </w:p>
          <w:p w:rsidR="006F5457" w:rsidRDefault="006F5457" w:rsidP="00CC3167">
            <w:pPr>
              <w:rPr>
                <w:sz w:val="20"/>
                <w:szCs w:val="20"/>
                <w:lang w:val="en-US"/>
              </w:rPr>
            </w:pPr>
            <w:r>
              <w:rPr>
                <w:sz w:val="20"/>
                <w:szCs w:val="20"/>
                <w:lang w:val="en-US"/>
              </w:rPr>
              <w:t xml:space="preserve">In the second, workshop part of this seminar, students </w:t>
            </w:r>
            <w:proofErr w:type="gramStart"/>
            <w:r>
              <w:rPr>
                <w:sz w:val="20"/>
                <w:szCs w:val="20"/>
                <w:lang w:val="en-US"/>
              </w:rPr>
              <w:t>will be asked</w:t>
            </w:r>
            <w:proofErr w:type="gramEnd"/>
            <w:r>
              <w:rPr>
                <w:sz w:val="20"/>
                <w:szCs w:val="20"/>
                <w:lang w:val="en-US"/>
              </w:rPr>
              <w:t xml:space="preserve"> to apply one of the above tools to a real company´s business SRE. In small groups, students </w:t>
            </w:r>
            <w:proofErr w:type="gramStart"/>
            <w:r>
              <w:rPr>
                <w:sz w:val="20"/>
                <w:szCs w:val="20"/>
                <w:lang w:val="en-US"/>
              </w:rPr>
              <w:t>will be asked</w:t>
            </w:r>
            <w:proofErr w:type="gramEnd"/>
            <w:r>
              <w:rPr>
                <w:sz w:val="20"/>
                <w:szCs w:val="20"/>
                <w:lang w:val="en-US"/>
              </w:rPr>
              <w:t xml:space="preserve"> to develop a role-play scenario, where the previously prepared tool will be used in practice with different group members taking different positions (e.g. environmental manager, CEO, consumer activist, government official, etc.)</w:t>
            </w:r>
            <w:proofErr w:type="gramStart"/>
            <w:r>
              <w:rPr>
                <w:sz w:val="20"/>
                <w:szCs w:val="20"/>
                <w:lang w:val="en-US"/>
              </w:rPr>
              <w:t>(Day 3).</w:t>
            </w:r>
            <w:proofErr w:type="gramEnd"/>
            <w:r>
              <w:rPr>
                <w:sz w:val="20"/>
                <w:szCs w:val="20"/>
                <w:lang w:val="en-US"/>
              </w:rPr>
              <w:t xml:space="preserve"> This </w:t>
            </w:r>
            <w:proofErr w:type="gramStart"/>
            <w:r>
              <w:rPr>
                <w:sz w:val="20"/>
                <w:szCs w:val="20"/>
                <w:lang w:val="en-US"/>
              </w:rPr>
              <w:t>role play</w:t>
            </w:r>
            <w:proofErr w:type="gramEnd"/>
            <w:r>
              <w:rPr>
                <w:sz w:val="20"/>
                <w:szCs w:val="20"/>
                <w:lang w:val="en-US"/>
              </w:rPr>
              <w:t xml:space="preserve"> will then be enacted with the whole seminar group, as active participants (Day 4). In a last reflective step, the play </w:t>
            </w:r>
            <w:proofErr w:type="gramStart"/>
            <w:r>
              <w:rPr>
                <w:sz w:val="20"/>
                <w:szCs w:val="20"/>
                <w:lang w:val="en-US"/>
              </w:rPr>
              <w:t>will be deconstructed</w:t>
            </w:r>
            <w:proofErr w:type="gramEnd"/>
            <w:r>
              <w:rPr>
                <w:sz w:val="20"/>
                <w:szCs w:val="20"/>
                <w:lang w:val="en-US"/>
              </w:rPr>
              <w:t xml:space="preserve"> with different students being asked to interpret the situation from the different angles of sustainability, responsibility, and ethics. The essay assignment will ask students to connect their respective scenario and role to relevant literature, to develop further potential applications and learnings for practice.</w:t>
            </w:r>
          </w:p>
          <w:p w:rsidR="006F5457" w:rsidRDefault="006F5457" w:rsidP="00CC3167">
            <w:pPr>
              <w:rPr>
                <w:sz w:val="20"/>
                <w:szCs w:val="20"/>
                <w:lang w:val="en-US"/>
              </w:rPr>
            </w:pPr>
          </w:p>
          <w:p w:rsidR="006F5457" w:rsidRPr="00167877" w:rsidRDefault="006F5457" w:rsidP="00CE425C">
            <w:pPr>
              <w:rPr>
                <w:sz w:val="20"/>
                <w:szCs w:val="20"/>
                <w:lang w:val="en-US"/>
              </w:rPr>
            </w:pPr>
            <w:r>
              <w:rPr>
                <w:sz w:val="20"/>
                <w:szCs w:val="20"/>
                <w:lang w:val="en-US"/>
              </w:rPr>
              <w:t xml:space="preserve">As the lecture part of the seminar will cover much ground in very little time, students </w:t>
            </w:r>
            <w:proofErr w:type="gramStart"/>
            <w:r>
              <w:rPr>
                <w:sz w:val="20"/>
                <w:szCs w:val="20"/>
                <w:lang w:val="en-US"/>
              </w:rPr>
              <w:t>are strongly recommended</w:t>
            </w:r>
            <w:proofErr w:type="gramEnd"/>
            <w:r>
              <w:rPr>
                <w:sz w:val="20"/>
                <w:szCs w:val="20"/>
                <w:lang w:val="en-US"/>
              </w:rPr>
              <w:t xml:space="preserve"> to come prepared with a basic working knowledge on SRE, and on the application in the management functions mentioned above, as illustrated in the book mentioned above. Being able to navigate through the book effectively will be an important skill for days 3 and 4, so “extensive skimming” of the book, and reading up in depth on each students´ areas of special interest beforehand is a must for preparation. Several copies of the book will be available in the university library and the </w:t>
            </w:r>
            <w:bookmarkStart w:id="0" w:name="_GoBack"/>
            <w:bookmarkEnd w:id="0"/>
            <w:r>
              <w:rPr>
                <w:sz w:val="20"/>
                <w:szCs w:val="20"/>
                <w:lang w:val="en-US"/>
              </w:rPr>
              <w:t>Institute.</w:t>
            </w:r>
          </w:p>
        </w:tc>
      </w:tr>
    </w:tbl>
    <w:p w:rsidR="006F5457" w:rsidRPr="006F5457" w:rsidRDefault="006F5457" w:rsidP="006F5457">
      <w:pPr>
        <w:spacing w:after="0" w:line="240" w:lineRule="auto"/>
        <w:rPr>
          <w:rFonts w:eastAsiaTheme="minorEastAsia"/>
          <w:b/>
          <w:sz w:val="32"/>
          <w:szCs w:val="24"/>
          <w:lang w:val="en-US" w:eastAsia="de-DE"/>
        </w:rPr>
      </w:pPr>
    </w:p>
    <w:sectPr w:rsidR="006F5457" w:rsidRPr="006F54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EB"/>
    <w:rsid w:val="00012299"/>
    <w:rsid w:val="00021011"/>
    <w:rsid w:val="0003487B"/>
    <w:rsid w:val="00064D1A"/>
    <w:rsid w:val="000830D8"/>
    <w:rsid w:val="00084361"/>
    <w:rsid w:val="000F0F3D"/>
    <w:rsid w:val="000F43D2"/>
    <w:rsid w:val="00111F67"/>
    <w:rsid w:val="00125305"/>
    <w:rsid w:val="001A1C39"/>
    <w:rsid w:val="001C2125"/>
    <w:rsid w:val="001D5F3A"/>
    <w:rsid w:val="001E44B4"/>
    <w:rsid w:val="002535FA"/>
    <w:rsid w:val="00257FB9"/>
    <w:rsid w:val="002A45A2"/>
    <w:rsid w:val="002C35E8"/>
    <w:rsid w:val="002E3064"/>
    <w:rsid w:val="002F55B1"/>
    <w:rsid w:val="00323218"/>
    <w:rsid w:val="003903D9"/>
    <w:rsid w:val="00395C78"/>
    <w:rsid w:val="003A314A"/>
    <w:rsid w:val="003A646F"/>
    <w:rsid w:val="003A69B9"/>
    <w:rsid w:val="003B5F4E"/>
    <w:rsid w:val="003C31D9"/>
    <w:rsid w:val="00403F44"/>
    <w:rsid w:val="004102E6"/>
    <w:rsid w:val="004346C4"/>
    <w:rsid w:val="004700E1"/>
    <w:rsid w:val="00477EEE"/>
    <w:rsid w:val="004944E0"/>
    <w:rsid w:val="004B74A9"/>
    <w:rsid w:val="004D71F8"/>
    <w:rsid w:val="004E7353"/>
    <w:rsid w:val="005062D7"/>
    <w:rsid w:val="00513173"/>
    <w:rsid w:val="0055685D"/>
    <w:rsid w:val="005D7F77"/>
    <w:rsid w:val="00613D5A"/>
    <w:rsid w:val="006144F2"/>
    <w:rsid w:val="00626E79"/>
    <w:rsid w:val="00680580"/>
    <w:rsid w:val="006D1C9C"/>
    <w:rsid w:val="006F5457"/>
    <w:rsid w:val="007009E6"/>
    <w:rsid w:val="007317E7"/>
    <w:rsid w:val="0076685A"/>
    <w:rsid w:val="007A1056"/>
    <w:rsid w:val="007B3B06"/>
    <w:rsid w:val="007F762A"/>
    <w:rsid w:val="00811602"/>
    <w:rsid w:val="00815602"/>
    <w:rsid w:val="008A64DE"/>
    <w:rsid w:val="008A757B"/>
    <w:rsid w:val="008B7A6D"/>
    <w:rsid w:val="008E681A"/>
    <w:rsid w:val="00926A94"/>
    <w:rsid w:val="00927DAF"/>
    <w:rsid w:val="00945933"/>
    <w:rsid w:val="0099799D"/>
    <w:rsid w:val="00A430EB"/>
    <w:rsid w:val="00A82C6C"/>
    <w:rsid w:val="00AC3865"/>
    <w:rsid w:val="00AE4BEB"/>
    <w:rsid w:val="00AF4620"/>
    <w:rsid w:val="00B71C78"/>
    <w:rsid w:val="00B752CD"/>
    <w:rsid w:val="00BA28BA"/>
    <w:rsid w:val="00BE3BFD"/>
    <w:rsid w:val="00C12378"/>
    <w:rsid w:val="00C70F3A"/>
    <w:rsid w:val="00CC61FE"/>
    <w:rsid w:val="00CE425C"/>
    <w:rsid w:val="00D11255"/>
    <w:rsid w:val="00D124E2"/>
    <w:rsid w:val="00D21BEC"/>
    <w:rsid w:val="00D2374C"/>
    <w:rsid w:val="00D8228C"/>
    <w:rsid w:val="00DB43ED"/>
    <w:rsid w:val="00E111E9"/>
    <w:rsid w:val="00E20A89"/>
    <w:rsid w:val="00E640D1"/>
    <w:rsid w:val="00E82F6F"/>
    <w:rsid w:val="00EE6ECE"/>
    <w:rsid w:val="00F34DBE"/>
    <w:rsid w:val="00F36C09"/>
    <w:rsid w:val="00FB3547"/>
    <w:rsid w:val="00FD0E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457"/>
    <w:pPr>
      <w:spacing w:after="0" w:line="240" w:lineRule="auto"/>
    </w:pPr>
    <w:rPr>
      <w:rFonts w:eastAsiaTheme="minorEastAsia"/>
      <w:sz w:val="24"/>
      <w:szCs w:val="24"/>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5457"/>
    <w:rPr>
      <w:color w:val="0000FF" w:themeColor="hyperlink"/>
      <w:u w:val="single"/>
    </w:rPr>
  </w:style>
  <w:style w:type="paragraph" w:styleId="Bibliography">
    <w:name w:val="Bibliography"/>
    <w:basedOn w:val="Normal"/>
    <w:next w:val="Normal"/>
    <w:uiPriority w:val="37"/>
    <w:unhideWhenUsed/>
    <w:rsid w:val="006F5457"/>
    <w:pPr>
      <w:spacing w:after="0" w:line="240" w:lineRule="auto"/>
    </w:pPr>
    <w:rPr>
      <w:rFonts w:eastAsiaTheme="minorEastAsia"/>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457"/>
    <w:pPr>
      <w:spacing w:after="0" w:line="240" w:lineRule="auto"/>
    </w:pPr>
    <w:rPr>
      <w:rFonts w:eastAsiaTheme="minorEastAsia"/>
      <w:sz w:val="24"/>
      <w:szCs w:val="24"/>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F5457"/>
    <w:rPr>
      <w:color w:val="0000FF" w:themeColor="hyperlink"/>
      <w:u w:val="single"/>
    </w:rPr>
  </w:style>
  <w:style w:type="paragraph" w:styleId="Bibliography">
    <w:name w:val="Bibliography"/>
    <w:basedOn w:val="Normal"/>
    <w:next w:val="Normal"/>
    <w:uiPriority w:val="37"/>
    <w:unhideWhenUsed/>
    <w:rsid w:val="006F5457"/>
    <w:pPr>
      <w:spacing w:after="0" w:line="240" w:lineRule="auto"/>
    </w:pPr>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Oli13</b:Tag>
    <b:SourceType>Book</b:SourceType>
    <b:Guid>{FAD5F49C-B83B-4DD4-8B74-FE1AF58FBB54}</b:Guid>
    <b:LCID>en-US</b:LCID>
    <b:Author>
      <b:Author>
        <b:NameList>
          <b:Person>
            <b:Last>Laasch</b:Last>
            <b:First>Oliver</b:First>
          </b:Person>
          <b:Person>
            <b:Last>Conaway</b:Last>
            <b:First>Roger</b:First>
            <b:Middle>N.</b:Middle>
          </b:Person>
        </b:NameList>
      </b:Author>
    </b:Author>
    <b:Title>Principles of responsible management: Glocal sustainability, responsibility, ethics</b:Title>
    <b:Year>2014</b:Year>
    <b:City>Mason</b:City>
    <b:Publisher>Cengage</b:Publisher>
    <b:RefOrder>1</b:RefOrder>
  </b:Source>
</b:Sources>
</file>

<file path=customXml/itemProps1.xml><?xml version="1.0" encoding="utf-8"?>
<ds:datastoreItem xmlns:ds="http://schemas.openxmlformats.org/officeDocument/2006/customXml" ds:itemID="{31639C2C-8A98-4F12-B737-FEA6D952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3066</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Laasch</dc:creator>
  <cp:keywords/>
  <dc:description/>
  <cp:lastModifiedBy>Oliver Laasch</cp:lastModifiedBy>
  <cp:revision>3</cp:revision>
  <dcterms:created xsi:type="dcterms:W3CDTF">2014-04-04T10:32:00Z</dcterms:created>
  <dcterms:modified xsi:type="dcterms:W3CDTF">2014-04-04T14:41:00Z</dcterms:modified>
</cp:coreProperties>
</file>